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1"/>
        <w:ind w:left="5387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«УТВЕРЖДЕНО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ind w:left="5387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приказом Минобразования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ind w:left="5387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ind w:left="5387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26.12.2025  № 1682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ind w:left="5387"/>
        <w:jc w:val="center"/>
        <w:tabs>
          <w:tab w:val="left" w:pos="5670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ind w:left="5387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Министр образования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ind w:left="5387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ind w:left="5387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__________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М.Н.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Жафярова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ind w:left="5387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«___» ________2025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г.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ind w:left="5387" w:firstLine="0"/>
        <w:jc w:val="center"/>
        <w:tabs>
          <w:tab w:val="clear" w:pos="708" w:leader="none"/>
          <w:tab w:val="left" w:pos="5670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jc w:val="center"/>
        <w:rPr>
          <w:rFonts w:ascii="Times New Roman" w:hAnsi="Times New Roman" w:cs="Times New Roman"/>
          <w:b/>
          <w:sz w:val="28"/>
          <w:szCs w:val="28"/>
          <w:highlight w:val="white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ГОСУДАРСТВЕННОЕ ЗАДАНИЕ №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46</w:t>
      </w:r>
      <w:r>
        <w:rPr>
          <w:rFonts w:ascii="Times New Roman" w:hAnsi="Times New Roman" w:cs="Times New Roman"/>
          <w:b/>
          <w:sz w:val="28"/>
          <w:szCs w:val="28"/>
          <w:highlight w:val="white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  <w:u w:val="single"/>
        </w:rPr>
      </w:r>
    </w:p>
    <w:p>
      <w:pPr>
        <w:pStyle w:val="791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pStyle w:val="791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на 2026 год и на плановый период 2027 и 2028 годов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pStyle w:val="791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tbl>
      <w:tblPr>
        <w:tblStyle w:val="923"/>
        <w:tblW w:w="983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38"/>
        <w:gridCol w:w="1431"/>
        <w:gridCol w:w="1064"/>
      </w:tblGrid>
      <w:tr>
        <w:tblPrEx/>
        <w:trPr>
          <w:trHeight w:val="36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8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1431" w:type="dxa"/>
            <w:vAlign w:val="center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064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Коды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58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8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Наименование государственного учреждения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Новосибирской области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1431" w:type="dxa"/>
            <w:vAlign w:val="center"/>
            <w:vMerge w:val="restart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Форма по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ОКУД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064" w:type="dxa"/>
            <w:vAlign w:val="center"/>
            <w:vMerge w:val="restart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0506001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36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8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white"/>
                <w:lang w:val="ru-RU" w:eastAsia="en-US" w:bidi="ar-SA"/>
              </w:rPr>
              <w:t xml:space="preserve">Государственное бюджетное профессиональное образовательное учреждение Новосибирской области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1431" w:type="dxa"/>
            <w:vAlign w:val="center"/>
            <w:vMerge w:val="continue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lang w:val="ru-RU" w:eastAsia="en-US" w:bidi="ar-SA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64" w:type="dxa"/>
            <w:vMerge w:val="continue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lang w:val="ru-RU" w:eastAsia="en-US" w:bidi="ar-SA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55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8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b/>
                <w:sz w:val="1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b/>
                <w:sz w:val="1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14"/>
                <w:highlight w:val="white"/>
              </w:rPr>
            </w:r>
          </w:p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white"/>
                <w:lang w:val="ru-RU" w:eastAsia="en-US" w:bidi="ar-SA"/>
              </w:rPr>
              <w:t xml:space="preserve">«Новосибирский центр профессионального обучения № 1»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1431" w:type="dxa"/>
            <w:vAlign w:val="center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Дата начала действия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064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55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8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b/>
                <w:sz w:val="1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Виды деятельности государственного учреждения Новосибирской  области</w:t>
            </w:r>
            <w:r>
              <w:rPr>
                <w:rFonts w:ascii="Times New Roman" w:hAnsi="Times New Roman" w:cs="Times New Roman"/>
                <w:b/>
                <w:sz w:val="1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14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1431" w:type="dxa"/>
            <w:vAlign w:val="center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</w:p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окончания действия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064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57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8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143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val="ru-RU" w:eastAsia="en-US" w:bidi="ar-SA"/>
              </w:rPr>
              <w:t xml:space="preserve">Код по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val="ru-RU" w:eastAsia="en-US" w:bidi="ar-SA"/>
              </w:rPr>
              <w:t xml:space="preserve">сводному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val="ru-RU" w:eastAsia="en-US" w:bidi="ar-SA"/>
              </w:rPr>
              <w:t xml:space="preserve">реестру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W w:w="1064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363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7338" w:type="dxa"/>
            <w:vAlign w:val="bottom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white"/>
                <w:lang w:val="ru-RU" w:eastAsia="ru-RU" w:bidi="ar-SA"/>
              </w:rPr>
              <w:t xml:space="preserve">Образование и наука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1431" w:type="dxa"/>
            <w:vAlign w:val="center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По ОКВЭД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064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85.21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363"/>
        </w:trPr>
        <w:tc>
          <w:tcPr>
            <w:tcBorders>
              <w:left w:val="none" w:color="000000" w:sz="4" w:space="0"/>
              <w:right w:val="none" w:color="000000" w:sz="4" w:space="0"/>
            </w:tcBorders>
            <w:tcW w:w="7338" w:type="dxa"/>
            <w:vAlign w:val="bottom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Вид государственного учреждения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1431" w:type="dxa"/>
            <w:vAlign w:val="center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По ОКВЭД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064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323"/>
        </w:trPr>
        <w:tc>
          <w:tcPr>
            <w:tcBorders>
              <w:left w:val="none" w:color="000000" w:sz="4" w:space="0"/>
              <w:right w:val="none" w:color="000000" w:sz="4" w:space="0"/>
            </w:tcBorders>
            <w:tcW w:w="7338" w:type="dxa"/>
            <w:vAlign w:val="bottom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Профессиональная образовательная организация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1431" w:type="dxa"/>
            <w:vAlign w:val="center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По ОКВЭД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064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486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8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(указывается вид деятельности государственного учреждения из базового </w:t>
            </w: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</w:p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(отраслевого) перечня или регионального перечня)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1" w:type="dxa"/>
            <w:vAlign w:val="center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</w:tbl>
    <w:p>
      <w:pPr>
        <w:pStyle w:val="791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 xml:space="preserve">Часть </w:t>
      </w:r>
      <w:r>
        <w:rPr>
          <w:rFonts w:ascii="Times New Roman" w:hAnsi="Times New Roman" w:eastAsia="Times New Roman" w:cs="Times New Roman"/>
          <w:highlight w:val="white"/>
          <w:lang w:val="en-US"/>
        </w:rPr>
        <w:t xml:space="preserve">I</w:t>
      </w:r>
      <w:r>
        <w:rPr>
          <w:rFonts w:ascii="Times New Roman" w:hAnsi="Times New Roman" w:eastAsia="Times New Roman" w:cs="Times New Roman"/>
          <w:highlight w:val="white"/>
        </w:rPr>
        <w:t xml:space="preserve">. Сведения об оказываемых государственных услугах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91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91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 xml:space="preserve">Раздел 1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91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91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tbl>
      <w:tblPr>
        <w:tblStyle w:val="923"/>
        <w:tblW w:w="988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250"/>
        <w:gridCol w:w="1631"/>
        <w:gridCol w:w="1008"/>
      </w:tblGrid>
      <w:tr>
        <w:tblPrEx/>
        <w:trPr>
          <w:trHeight w:val="23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50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1. Наименование государственной услуги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631" w:type="dxa"/>
            <w:vAlign w:val="center"/>
            <w:vMerge w:val="restart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Код по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базовому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(отраслевому)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 w:bidi="ar-SA"/>
              </w:rPr>
              <w:t xml:space="preserve">перечню или региональному перечню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8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2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50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1631" w:type="dxa"/>
            <w:vMerge w:val="continue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lang w:val="ru-RU" w:eastAsia="en-US" w:bidi="ar-SA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008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46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50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Реализация основных профессиональных образовательных программ профессионального обучения - программ профессиональной подготовки по профессиям рабочих, должностям служащих для лиц с ограниченными возможностями здоровья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left w:val="none" w:color="000000" w:sz="4" w:space="0"/>
            </w:tcBorders>
            <w:tcW w:w="1631" w:type="dxa"/>
            <w:vMerge w:val="continue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lang w:val="ru-RU" w:eastAsia="en-US" w:bidi="ar-SA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08" w:type="dxa"/>
            <w:vMerge w:val="restart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30.1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53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50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left w:val="none" w:color="000000" w:sz="4" w:space="0"/>
            </w:tcBorders>
            <w:tcW w:w="1631" w:type="dxa"/>
            <w:vMerge w:val="continue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lang w:val="ru-RU" w:eastAsia="en-US" w:bidi="ar-SA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08" w:type="dxa"/>
            <w:vMerge w:val="continue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lang w:val="ru-RU" w:eastAsia="en-US" w:bidi="ar-SA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530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7250" w:type="dxa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  <w:t xml:space="preserve">2. Категории потребителей государственной услуги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white"/>
                <w:lang w:val="ru-RU" w:eastAsia="ru-RU" w:bidi="ar-SA"/>
              </w:rPr>
              <w:t xml:space="preserve">Физические лица, ранее не имевшие профессии рабочего или должности служащего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left w:val="none" w:color="000000" w:sz="4" w:space="0"/>
            </w:tcBorders>
            <w:tcW w:w="1631" w:type="dxa"/>
            <w:vMerge w:val="continue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lang w:val="ru-RU" w:eastAsia="en-US" w:bidi="ar-SA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08" w:type="dxa"/>
            <w:vMerge w:val="continue"/>
            <w:textDirection w:val="lrTb"/>
            <w:noWrap w:val="false"/>
          </w:tcPr>
          <w:p>
            <w:pPr>
              <w:pStyle w:val="791"/>
              <w:jc w:val="left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lang w:val="ru-RU" w:eastAsia="en-US" w:bidi="ar-SA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rFonts w:ascii="Times New Roman" w:hAnsi="Times New Roman" w:cs="Times New Roman"/>
          <w:highlight w:val="white"/>
        </w:rPr>
        <w:sectPr>
          <w:headerReference w:type="default" r:id="rId9"/>
          <w:headerReference w:type="first" r:id="rId10"/>
          <w:footerReference w:type="first" r:id="rId12"/>
          <w:footnotePr/>
          <w:endnotePr/>
          <w:type w:val="nextPage"/>
          <w:pgSz w:w="11906" w:h="16838" w:orient="portrait"/>
          <w:pgMar w:top="426" w:right="567" w:bottom="709" w:left="1418" w:header="0" w:footer="0" w:gutter="0"/>
          <w:cols w:num="1" w:sep="0" w:space="1701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22"/>
        <w:ind w:left="-567" w:firstLine="0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  <w:t xml:space="preserve">3.1. Показатели, характеризующие качество государственной услуги: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tbl>
      <w:tblPr>
        <w:tblW w:w="16164" w:type="dxa"/>
        <w:tblInd w:w="-647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992"/>
        <w:gridCol w:w="1135"/>
        <w:gridCol w:w="1133"/>
        <w:gridCol w:w="1134"/>
        <w:gridCol w:w="851"/>
        <w:gridCol w:w="850"/>
        <w:gridCol w:w="2977"/>
        <w:gridCol w:w="851"/>
        <w:gridCol w:w="850"/>
        <w:gridCol w:w="992"/>
        <w:gridCol w:w="993"/>
        <w:gridCol w:w="1133"/>
        <w:gridCol w:w="569"/>
        <w:gridCol w:w="567"/>
        <w:gridCol w:w="1137"/>
      </w:tblGrid>
      <w:tr>
        <w:tblPrEx/>
        <w:trPr>
          <w:trHeight w:val="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Уникаль-ный номер реестровой записи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Показатель, характеризующий содержание государственной услуги (по справочникам)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Показатель, характеризующий условия (формы) оказания государственной услуги (по справочникам)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Показатель качества государственной услуги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Значение показателя качества государственной услуги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6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Допустимые  (возможные)  отклонения  от  установленных показателей качества государственной услуги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Результаты оценки степени значимости показателя качества государственной услуги (в баллах)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4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2026 год (очередной финансовый год)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2027 год (1-й год планового периода)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2028 год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(2-й год планового периода)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в процентах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в абсолютных показателях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</w:tr>
      <w:tr>
        <w:tblPrEx/>
        <w:trPr>
          <w:trHeight w:val="5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Содержание1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Содержание 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Содержание 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Условия (формы) оказания 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2"/>
              <w:ind w:right="-23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Условия (формы) оказания 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наимено-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вание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код по ОКЕИ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numPr>
                <w:ilvl w:val="0"/>
                <w:numId w:val="0"/>
              </w:numPr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outlineLvl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11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13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14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20"/>
                <w:highlight w:val="white"/>
              </w:rPr>
              <w:t xml:space="preserve">15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highlight w:val="white"/>
              </w:rPr>
            </w:r>
          </w:p>
        </w:tc>
      </w:tr>
      <w:tr>
        <w:tblPrEx/>
        <w:trPr>
          <w:trHeight w:val="1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30.1.853111.1.00127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Столяр строительный; плотник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Очная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1.Сохранность контингента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1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2. Доля обучающихся, прошедших промежуточную аттестацию, в общей численности обучающихся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8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3. Доля выпускников, прошедших итоговую аттестацию, в общей численности выпускников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12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4. Доля выпускников, трудоустроившихся в течение одного года после окончания обучения по полученной профессии, в общей их численности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16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5. Уровень выполнения плана приема обучающихся по программам профессиональной подготовки для лиц с ограниченными возможностями здоровья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1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30.1.853111.1.00130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Штукатур, маляр строительный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Очная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1.Сохранность контингента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2. Доля обучающихся, прошедших промежуточную аттестацию, в общей численности обучающихся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3. Доля выпускников, прошедших итоговую аттестацию, в общей численности выпускников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4. Доля выпускников, трудоустроившихся в течение одного года после окончания обучения по полученной профессии, в общей их численности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5. Уровень выполнения плана приема обучающихся по программам профессиональной подготовки для лиц с ограниченными возможностями здоровья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30.1.853111.1.00128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Швея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Очная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1.Сохранность контингента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9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2. Доля обучающихся, прошедших промежуточную аттестацию, в общей численности обучающихся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3. Доля выпускников, прошедших итоговую аттестацию, в общей численности выпускников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4. Доля выпускников, трудоустроившихся в течение одного года после окончания обучения по полученной профессии, в общей их численности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5. Уровень выполнения плана приема обучающихся по программам профессиональной подготовки для лиц с ограниченными возможностями здоровья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30.1.853111.1.00129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Рабочий зеленого хозяйства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Очная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1.Сохранность контингента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2. Доля обучающихся, прошедших промежуточную аттестацию, в общей численности обучающихся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3. Доля выпускников, прошедших итоговую аттестацию, в общей численности выпускников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4. Доля выпускников, трудоустроившихся в течение одного года после окончания обучения по полученной профессии, в общей их численности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5. Уровень выполнения плана приема обучающихся по программам профессиональной подготовки для лиц с ограниченными возможностями здоровья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804200О.99.0.ББ65АБ01000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Рабочий по комплексному обслуживанию и ремонту зданий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restart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Очная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1.Сохранность контингента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2. Доля обучающихся, прошедших промежуточную аттестацию, в общей численности обучающихся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3. Доля выпускников, прошедших итоговую аттестацию, в общей численности выпускников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4. Доля выпускников, трудоустроившихся в течение одного года после окончания обучения по полученной профессии, в общей их численности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3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5. Уровень выполнения плана приема обучающихся по программам профессиональной подготовки для лиц с ограниченными возможностями здоровья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744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</w:tbl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ind w:left="-567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  <w:t xml:space="preserve">3.2. Показатели, характеризующие объем государственной услуги: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tbl>
      <w:tblPr>
        <w:tblW w:w="16302" w:type="dxa"/>
        <w:tblInd w:w="-789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992"/>
        <w:gridCol w:w="1277"/>
        <w:gridCol w:w="1133"/>
        <w:gridCol w:w="1134"/>
        <w:gridCol w:w="993"/>
        <w:gridCol w:w="991"/>
        <w:gridCol w:w="1277"/>
        <w:gridCol w:w="851"/>
        <w:gridCol w:w="1133"/>
        <w:gridCol w:w="992"/>
        <w:gridCol w:w="850"/>
        <w:gridCol w:w="851"/>
        <w:gridCol w:w="993"/>
        <w:gridCol w:w="851"/>
        <w:gridCol w:w="849"/>
        <w:gridCol w:w="567"/>
        <w:gridCol w:w="568"/>
      </w:tblGrid>
      <w:tr>
        <w:tblPrEx/>
        <w:trPr>
          <w:trHeight w:val="5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Уникаль-ный номер реест-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ровой записи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Показатель, характеризующий содержание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highlight w:val="white"/>
              </w:rPr>
              <w:t xml:space="preserve">(по справочникам)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Показатель, характеризующий условия (формы) оказания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highlight w:val="white"/>
              </w:rPr>
              <w:t xml:space="preserve">(по справочникам)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Показатель объема государственной услуги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Значение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показателя объема государственной услуги*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Размер платы (цена, тариф)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Допустимые  (возможные)  отклонения  от  установленных показателей объема государственной услуги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5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2026 год (очеред-ной финан-совый год)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2027год (1-й год планово-го периода)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2028 год (2-й год планово-го периода)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2026 год (очеред-ной финан-совый год)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2027 год (1-й год планово-го периода)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2028 год (2-й год планово-го периода)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в процентах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в абсолютных показателях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7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Содержание1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Содержание 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Содержание 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Условия (формы) оказания 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22"/>
              <w:ind w:right="-23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Условия (формы) оказания 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наиме-нование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код по </w:t>
            </w:r>
            <w:hyperlink r:id="rId14" w:tooltip="consultantplus://offline/ref=DC41E2772540CE89436B920E86BEF4F9345B73C5B114AE3A8765A72052AFVD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18"/>
                  <w:szCs w:val="20"/>
                  <w:highlight w:val="white"/>
                </w:rPr>
                <w:t xml:space="preserve">ОКЕИ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r>
          </w:p>
        </w:tc>
      </w:tr>
      <w:tr>
        <w:tblPrEx/>
        <w:trPr>
          <w:trHeight w:val="2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10*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0"/>
              </w:numPr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  <w:outlineLvl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30.1.853111.1.00127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Столяр строительный; плотник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eastAsia="ru-RU"/>
              </w:rPr>
              <w:t xml:space="preserve">Очная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Численность обучающихся (человек)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792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36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36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36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5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30.1.853111.1.00130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Штукатур, маляр строительный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Очная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Численность обучающихся (человек)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792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164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164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164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5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30.1.853111.1.00128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Швея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Очная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Численность обучающихся (человек)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792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36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36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36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5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30.1.853111.1.00129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Рабочий зеленого хозяйства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Очная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Численность обучающихся (человек)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792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  <w:tr>
        <w:tblPrEx/>
        <w:trPr>
          <w:trHeight w:val="5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804200О.99.0.ББ65АБ01000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Рабочий по комплексному обслуживанию и ремонту зданий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Очная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Численность обучающихся (человек)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792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</w:tr>
    </w:tbl>
    <w:p>
      <w:pPr>
        <w:pStyle w:val="791"/>
        <w:ind w:left="-567" w:firstLine="0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91"/>
        <w:ind w:left="-851" w:firstLine="0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*Примечания к графе 10: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tbl>
      <w:tblPr>
        <w:tblStyle w:val="923"/>
        <w:tblW w:w="6805" w:type="dxa"/>
        <w:tblInd w:w="-74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544"/>
        <w:gridCol w:w="3260"/>
      </w:tblGrid>
      <w:tr>
        <w:tblPrEx/>
        <w:trPr/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val="ru-RU" w:eastAsia="en-US" w:bidi="ar-SA"/>
              </w:rPr>
              <w:t xml:space="preserve">Наименование программ подготовки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val="ru-RU" w:eastAsia="en-US" w:bidi="ar-SA"/>
              </w:rPr>
              <w:t xml:space="preserve">в том числе план приема на 1 курс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val="ru-RU" w:eastAsia="en-US" w:bidi="ar-SA"/>
              </w:rPr>
              <w:t xml:space="preserve">с 01.09.2026, человек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72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val="ru-RU" w:eastAsia="en-US" w:bidi="ar-SA"/>
              </w:rPr>
              <w:t xml:space="preserve">Столяр строительный; плотник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val="ru-RU" w:eastAsia="en-US" w:bidi="ar-SA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</w:tr>
      <w:tr>
        <w:tblPrEx/>
        <w:trPr>
          <w:trHeight w:val="163"/>
        </w:trPr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72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val="ru-RU" w:eastAsia="en-US" w:bidi="ar-SA"/>
              </w:rPr>
              <w:t xml:space="preserve">Штукатур, маляр строительный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none"/>
                <w:lang w:val="ru-RU" w:eastAsia="en-US" w:bidi="ar-SA"/>
              </w:rPr>
              <w:t xml:space="preserve">48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</w:tr>
      <w:tr>
        <w:tblPrEx/>
        <w:trPr>
          <w:trHeight w:val="180"/>
        </w:trPr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72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  <w:lang w:val="ru-RU" w:eastAsia="en-US" w:bidi="ar-SA"/>
              </w:rPr>
              <w:t xml:space="preserve">Швея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val="ru-RU" w:eastAsia="en-US" w:bidi="ar-SA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72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  <w:lang w:val="ru-RU" w:eastAsia="en-US" w:bidi="ar-SA"/>
              </w:rPr>
              <w:t xml:space="preserve">Рабочий зеленого хозяйства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val="ru-RU" w:eastAsia="en-US" w:bidi="ar-SA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20"/>
                <w:highlight w:val="white"/>
              </w:rPr>
              <w:t xml:space="preserve">Рабочий по комплексному обслуживанию и ремонту зданий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highlight w:val="white"/>
              </w:rPr>
            </w:r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val="ru-RU" w:eastAsia="en-US" w:bidi="ar-SA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3544" w:type="dxa"/>
            <w:vAlign w:val="center"/>
            <w:textDirection w:val="lrTb"/>
            <w:noWrap w:val="false"/>
          </w:tcPr>
          <w:p>
            <w:pPr>
              <w:pStyle w:val="72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  <w:lang w:val="ru-RU" w:eastAsia="en-US" w:bidi="ar-SA"/>
              </w:rPr>
              <w:t xml:space="preserve">Всего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91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val="ru-RU" w:eastAsia="en-US" w:bidi="ar-SA"/>
              </w:rPr>
              <w:t xml:space="preserve">96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</w:tr>
    </w:tbl>
    <w:p>
      <w:pPr>
        <w:rPr>
          <w:rFonts w:ascii="Times New Roman" w:hAnsi="Times New Roman" w:cs="Times New Roman"/>
          <w:highlight w:val="white"/>
        </w:rPr>
        <w:sectPr>
          <w:headerReference w:type="first" r:id="rId11"/>
          <w:footnotePr/>
          <w:endnotePr/>
          <w:type w:val="nextPage"/>
          <w:pgSz w:w="16838" w:h="11906" w:orient="landscape"/>
          <w:pgMar w:top="777" w:right="567" w:bottom="426" w:left="1134" w:header="720" w:footer="0" w:gutter="0"/>
          <w:cols w:num="1" w:sep="0" w:space="1701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22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highlight w:val="white"/>
        </w:rPr>
        <w:t xml:space="preserve">4. Нормативные правовые акты, устанавливающие размер платы (цену, тариф) либо порядок ее (его) установления:</w:t>
      </w:r>
      <w:r>
        <w:rPr>
          <w:rFonts w:ascii="Times New Roman" w:hAnsi="Times New Roman" w:cs="Times New Roman"/>
          <w:color w:val="000000" w:themeColor="text1"/>
          <w:sz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highlight w:val="white"/>
        </w:rPr>
      </w:r>
    </w:p>
    <w:p>
      <w:pPr>
        <w:pStyle w:val="722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highlight w:val="white"/>
        </w:rPr>
      </w:r>
    </w:p>
    <w:tbl>
      <w:tblPr>
        <w:tblW w:w="9615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679"/>
        <w:gridCol w:w="1681"/>
        <w:gridCol w:w="1680"/>
        <w:gridCol w:w="1683"/>
        <w:gridCol w:w="2892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15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Нормативный правовой акт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9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вид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принявший орган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0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дата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номер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2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9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1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0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3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2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9" w:type="dxa"/>
            <w:textDirection w:val="lrTb"/>
            <w:noWrap w:val="false"/>
          </w:tcPr>
          <w:p>
            <w:pPr>
              <w:pStyle w:val="722"/>
              <w:numPr>
                <w:ilvl w:val="0"/>
                <w:numId w:val="0"/>
              </w:numPr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  <w:outlineLvl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1" w:type="dxa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0" w:type="dxa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3" w:type="dxa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2" w:type="dxa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</w:tr>
    </w:tbl>
    <w:p>
      <w:pPr>
        <w:pStyle w:val="722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22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  <w:t xml:space="preserve">5. Порядок оказания государственной услуги: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  <w:t xml:space="preserve">5.1. Нормативные правовые акты, регулирующие порядок оказания государственной услуги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tbl>
      <w:tblPr>
        <w:tblW w:w="9608" w:type="dxa"/>
        <w:tblInd w:w="9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08"/>
      </w:tblGrid>
      <w:tr>
        <w:tblPrEx/>
        <w:trPr>
          <w:trHeight w:val="358"/>
        </w:trPr>
        <w:tc>
          <w:tcPr>
            <w:shd w:val="clear" w:color="auto" w:fill="auto"/>
            <w:tcW w:w="9608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 xml:space="preserve">Федеральный закон от 29.12.2012 № 273-ФЗ «Об образовании в Российской Федерации»;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567"/>
        </w:trPr>
        <w:tc>
          <w:tcPr>
            <w:shd w:val="clear" w:color="auto" w:fill="auto"/>
            <w:tcW w:w="9608" w:type="dxa"/>
            <w:vAlign w:val="center"/>
            <w:textDirection w:val="lrTb"/>
            <w:noWrap w:val="false"/>
          </w:tcPr>
          <w:p>
            <w:pPr>
              <w:pStyle w:val="722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Федеральный закон от 21.12.2021 № 414-ФЗ «Об общих принципах организации публичной власти в субъектах Российской Федерации»;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highlight w:val="white"/>
              </w:rPr>
            </w:r>
          </w:p>
        </w:tc>
      </w:tr>
      <w:tr>
        <w:tblPrEx/>
        <w:trPr>
          <w:trHeight w:val="735"/>
        </w:trPr>
        <w:tc>
          <w:tcPr>
            <w:shd w:val="clear" w:color="auto" w:fill="auto"/>
            <w:tcW w:w="9608" w:type="dxa"/>
            <w:vAlign w:val="center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 xml:space="preserve">Закон Законодательное Собрание Новосибирской области от 05.07.2013 №361-ОЗ «О регулировании отношений в сфере образования в Новосибирской области»;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735"/>
        </w:trPr>
        <w:tc>
          <w:tcPr>
            <w:shd w:val="clear" w:color="auto" w:fill="auto"/>
            <w:tcW w:w="9608" w:type="dxa"/>
            <w:vAlign w:val="center"/>
            <w:textDirection w:val="lrTb"/>
            <w:noWrap w:val="false"/>
          </w:tcPr>
          <w:p>
            <w:pPr>
              <w:pStyle w:val="722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Приказ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Министерства просвещения Российской Федерации от 14.07.2023 № 534 «Об утверждении Перечня профессий рабочих, должностей служащих, по которым осуществляется профессиональное обучение»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722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  <w:t xml:space="preserve">5.2.  Порядок  информирования  потенциальных  потребителей  государственной услуги: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tbl>
      <w:tblPr>
        <w:tblW w:w="9579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3193"/>
        <w:gridCol w:w="3193"/>
        <w:gridCol w:w="319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textDirection w:val="lrTb"/>
            <w:noWrap w:val="false"/>
          </w:tcPr>
          <w:p>
            <w:pPr>
              <w:pStyle w:val="795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Cs w:val="24"/>
                <w:highlight w:val="white"/>
              </w:rPr>
              <w:t xml:space="preserve">Способ информирования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textDirection w:val="lrTb"/>
            <w:noWrap w:val="false"/>
          </w:tcPr>
          <w:p>
            <w:pPr>
              <w:pStyle w:val="795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Cs w:val="24"/>
                <w:highlight w:val="white"/>
              </w:rPr>
              <w:t xml:space="preserve">Состав размещаемой информации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textDirection w:val="lrTb"/>
            <w:noWrap w:val="false"/>
          </w:tcPr>
          <w:p>
            <w:pPr>
              <w:pStyle w:val="795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Cs w:val="24"/>
                <w:highlight w:val="white"/>
              </w:rPr>
              <w:t xml:space="preserve">Частота обновления информации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textDirection w:val="lrTb"/>
            <w:noWrap w:val="false"/>
          </w:tcPr>
          <w:p>
            <w:pPr>
              <w:pStyle w:val="795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textDirection w:val="lrTb"/>
            <w:noWrap w:val="false"/>
          </w:tcPr>
          <w:p>
            <w:pPr>
              <w:pStyle w:val="795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textDirection w:val="lrTb"/>
            <w:noWrap w:val="false"/>
          </w:tcPr>
          <w:p>
            <w:pPr>
              <w:pStyle w:val="795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highlight w:val="white"/>
                <w:lang w:eastAsia="ru-RU"/>
              </w:rPr>
              <w:t xml:space="preserve">Размещение информации на сайте профессиональной образовательной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Размещение информации в соответствии 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Постановлением Правительства РФ от 20.10.2021 № 1802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"Об утверждении Правил размещения на официальном сайте образо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вательной организации в информационно-телекоммуникационной сети "Интернет"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highlight w:val="white"/>
                <w:lang w:eastAsia="ru-RU"/>
              </w:rPr>
              <w:t xml:space="preserve">Постоянно в течение года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highlight w:val="white"/>
                <w:lang w:eastAsia="ru-RU"/>
              </w:rPr>
              <w:t xml:space="preserve">Размещение информации в средствах массовой информации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vMerge w:val="restart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highlight w:val="white"/>
                <w:lang w:eastAsia="ru-RU"/>
              </w:rPr>
              <w:t xml:space="preserve">Правила приема; условия приема по договорам об оказании платных образовательных услуг; перечень специа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highlight w:val="white"/>
                <w:lang w:eastAsia="ru-RU"/>
              </w:rPr>
              <w:t xml:space="preserve">льностей (профессий); общее количество мест для приема; требования к уровню образования; перечень вступительных испытаний; информация о необходимости обязательного предварительного медицинского осмотра; информация о наличии общежития; контактная информация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highlight w:val="white"/>
                <w:lang w:eastAsia="ru-RU"/>
              </w:rPr>
              <w:t xml:space="preserve">Постоянно в течение года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highlight w:val="white"/>
                <w:lang w:eastAsia="ru-RU"/>
              </w:rPr>
              <w:t xml:space="preserve">Размещение информации в справочниках, буклетах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highlight w:val="white"/>
                <w:lang w:eastAsia="ru-RU"/>
              </w:rPr>
              <w:t xml:space="preserve">По мере необходимости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highlight w:val="white"/>
                <w:lang w:eastAsia="ru-RU"/>
              </w:rPr>
              <w:t xml:space="preserve">Размещение информации на информационных стендах профессиональной образовательной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highlight w:val="white"/>
                <w:lang w:eastAsia="ru-RU"/>
              </w:rPr>
              <w:t xml:space="preserve">По мере необходимости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highlight w:val="white"/>
                <w:lang w:eastAsia="ru-RU"/>
              </w:rPr>
              <w:t xml:space="preserve">Профориентационная работа в школах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vMerge w:val="continue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3" w:type="dxa"/>
            <w:vAlign w:val="center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4"/>
                <w:highlight w:val="white"/>
                <w:lang w:eastAsia="ru-RU"/>
              </w:rPr>
              <w:t xml:space="preserve">Постоянно в течение года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highlight w:val="white"/>
              </w:rPr>
            </w:r>
          </w:p>
        </w:tc>
      </w:tr>
    </w:tbl>
    <w:p>
      <w:pPr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22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  <w:lang w:val="en-US"/>
        </w:rPr>
        <w:t xml:space="preserve">III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  <w:t xml:space="preserve">. Прочие сведения о государственном задании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91"/>
        <w:jc w:val="center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91"/>
        <w:jc w:val="center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90"/>
        <w:numPr>
          <w:ilvl w:val="0"/>
          <w:numId w:val="1"/>
        </w:numPr>
        <w:contextualSpacing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Основания (условия и порядок) для досрочного прекращения выполнения государственного задания 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22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  <w:lang w:eastAsia="ru-RU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22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  <w:lang w:eastAsia="ru-RU"/>
        </w:rPr>
        <w:t xml:space="preserve">Выполнение государственного задания завершается по окончании финансового года. 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22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  <w:lang w:eastAsia="ru-RU"/>
        </w:rPr>
        <w:t xml:space="preserve">Досрочное прекращение государственного задания возможно при следующих условиях: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22"/>
        <w:contextualSpacing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  <w:lang w:eastAsia="ru-RU"/>
        </w:rPr>
        <w:t xml:space="preserve">- ликвидации, реорганизации профессионального образовательного учреждения;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22"/>
        <w:contextualSpacing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  <w:lang w:eastAsia="ru-RU"/>
        </w:rPr>
        <w:t xml:space="preserve">- исключение государственной услуги из Базового (отраслевого) или регионального перечня государственных услуг (работ);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22"/>
        <w:contextualSpacing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  <w:lang w:eastAsia="ru-RU"/>
        </w:rPr>
        <w:t xml:space="preserve">- иные основания, предусмотренные законодательством.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22"/>
        <w:contextualSpacing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  <w:lang w:eastAsia="ru-RU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91"/>
        <w:spacing w:line="36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2.  Иная информация, необходимая для выполнения (контроля за выполнением)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91"/>
        <w:spacing w:line="36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государственного задания 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22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  <w:lang w:eastAsia="ru-RU"/>
        </w:rPr>
        <w:t xml:space="preserve">Иная информация не требуется.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91"/>
        <w:spacing w:line="36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91"/>
        <w:spacing w:line="36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3. Порядок контроля за выполнением государственного задания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tbl>
      <w:tblPr>
        <w:tblW w:w="9636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12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Форма контроля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12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Периодичность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12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Органы исполнительной власти Новосибирской области, осуществляющие контроль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за выполнением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государственного задания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12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12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12" w:type="dxa"/>
            <w:textDirection w:val="lrTb"/>
            <w:noWrap w:val="false"/>
          </w:tcPr>
          <w:p>
            <w:pPr>
              <w:pStyle w:val="72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12" w:type="dxa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  <w:lang w:eastAsia="ru-RU"/>
              </w:rPr>
              <w:t xml:space="preserve">Профессиональное образовательное учреждение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предоставляет отчет об исполнении государственного задания по форме, утвержденной постановлением Правительства Новосибирской области от 23.11.2015 № 406-п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12" w:type="dxa"/>
            <w:textDirection w:val="lrTb"/>
            <w:noWrap w:val="false"/>
          </w:tcPr>
          <w:p>
            <w:pPr>
              <w:pStyle w:val="722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Ежеквартально, до 10 числа месяца, следующего за отчетным кварталом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12" w:type="dxa"/>
            <w:textDirection w:val="lrTb"/>
            <w:noWrap w:val="false"/>
          </w:tcPr>
          <w:p>
            <w:pPr>
              <w:pStyle w:val="722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highlight w:val="white"/>
              </w:rPr>
              <w:t xml:space="preserve">Министерство образования Новосибирской области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white"/>
              </w:rPr>
            </w:r>
          </w:p>
        </w:tc>
      </w:tr>
    </w:tbl>
    <w:p>
      <w:pPr>
        <w:pStyle w:val="791"/>
        <w:jc w:val="center"/>
        <w:spacing w:line="36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91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4.Требования к отчетности о выполнении государственного задания: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722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4.1. Периодичность  представления  отчетов  о  выполнении государственного задания: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22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91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Ежеквартально.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791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791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4.2. Сроки представления отчетов о выполнении государственного задания: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791"/>
        <w:jc w:val="both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- ежеквартально до 10 числа месяца, следующего за отчётным, по итогам года - до 20 января года, следующего за отчетным;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791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</w:rPr>
        <w:t xml:space="preserve">- представление предварительного отчета о выполнении государственного задания - не позднее 1 ноября отчетного года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791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791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4.3. Иные требования к отчетности о выполнении государственного задания: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791"/>
        <w:jc w:val="both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Отчет предоставляется в электронном виде и на бумажном носителе, заверенный подписью руководителя государственного образовательного учреждения и печатью учреждения.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791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791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5. Иные показатели, связанные с выполнением государственного задания: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791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Иные показатели не требуются.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791"/>
        <w:spacing w:line="48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sectPr>
      <w:footnotePr/>
      <w:endnotePr/>
      <w:type w:val="nextPage"/>
      <w:pgSz w:w="11906" w:h="16838" w:orient="portrait"/>
      <w:pgMar w:top="1134" w:right="567" w:bottom="1134" w:left="1418" w:header="72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Droid Sans Devanagari">
    <w:panose1 w:val="020B0606030804020204"/>
  </w:font>
  <w:font w:name="Liberation Sans">
    <w:panose1 w:val="020B06040202020202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3"/>
      <w:jc w:val="center"/>
    </w:pPr>
    <w:fldSimple w:instr="PAGE \* MERGEFORMAT">
      <w:r>
        <w:t xml:space="preserve">1</w:t>
      </w:r>
    </w:fldSimple>
    <w:r/>
    <w:r/>
  </w:p>
  <w:p>
    <w:pPr>
      <w:pStyle w:val="79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3"/>
      <w:jc w:val="center"/>
      <w:rPr>
        <w:color w:val="ffffff" w:themeColor="background1"/>
      </w:rPr>
    </w:pPr>
    <w:fldSimple w:instr="PAGE \* MERGEFORMAT">
      <w:r>
        <w:rPr>
          <w:color w:val="ffffff" w:themeColor="background1"/>
        </w:rPr>
        <w:t xml:space="preserve">1</w:t>
      </w:r>
    </w:fldSimple>
    <w:r>
      <w:rPr>
        <w:color w:val="ffffff" w:themeColor="background1"/>
      </w:rPr>
    </w:r>
    <w:r>
      <w:rPr>
        <w:color w:val="ffffff" w:themeColor="background1"/>
      </w:rPr>
    </w:r>
    <w:r>
      <w:rPr>
        <w:color w:val="ffffff" w:themeColor="background1"/>
      </w:rPr>
    </w:r>
  </w:p>
  <w:p>
    <w:pPr>
      <w:pStyle w:val="79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3"/>
      <w:jc w:val="center"/>
    </w:pPr>
    <w:fldSimple w:instr="PAGE \* MERGEFORMAT">
      <w:r>
        <w:t xml:space="preserve">1</w:t>
      </w:r>
    </w:fldSimple>
    <w:r/>
    <w:r/>
  </w:p>
  <w:p>
    <w:pPr>
      <w:pStyle w:val="79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9">
    <w:name w:val="Hyperlink"/>
    <w:uiPriority w:val="99"/>
    <w:unhideWhenUsed/>
    <w:rPr>
      <w:color w:val="0000ff" w:themeColor="hyperlink"/>
      <w:u w:val="single"/>
    </w:rPr>
  </w:style>
  <w:style w:type="character" w:styleId="720">
    <w:name w:val="footnote reference"/>
    <w:basedOn w:val="738"/>
    <w:uiPriority w:val="99"/>
    <w:unhideWhenUsed/>
    <w:rPr>
      <w:vertAlign w:val="superscript"/>
    </w:rPr>
  </w:style>
  <w:style w:type="character" w:styleId="721">
    <w:name w:val="endnote reference"/>
    <w:basedOn w:val="738"/>
    <w:uiPriority w:val="99"/>
    <w:semiHidden/>
    <w:unhideWhenUsed/>
    <w:rPr>
      <w:vertAlign w:val="superscript"/>
    </w:rPr>
  </w:style>
  <w:style w:type="paragraph" w:styleId="722" w:default="1">
    <w:name w:val="Normal"/>
    <w:qFormat/>
    <w:pPr>
      <w:jc w:val="left"/>
      <w:spacing w:before="0" w:beforeAutospacing="0" w:after="200" w:afterAutospacing="0" w:line="276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23" w:customStyle="1">
    <w:name w:val="Heading 1"/>
    <w:basedOn w:val="722"/>
    <w:next w:val="722"/>
    <w:link w:val="7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24" w:customStyle="1">
    <w:name w:val="Heading 2"/>
    <w:basedOn w:val="722"/>
    <w:next w:val="722"/>
    <w:link w:val="74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25" w:customStyle="1">
    <w:name w:val="Heading 3"/>
    <w:basedOn w:val="722"/>
    <w:next w:val="722"/>
    <w:link w:val="7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6" w:customStyle="1">
    <w:name w:val="Heading 4"/>
    <w:basedOn w:val="722"/>
    <w:next w:val="722"/>
    <w:link w:val="74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7" w:customStyle="1">
    <w:name w:val="Heading 5"/>
    <w:basedOn w:val="722"/>
    <w:next w:val="722"/>
    <w:link w:val="7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8" w:customStyle="1">
    <w:name w:val="Heading 6"/>
    <w:basedOn w:val="722"/>
    <w:next w:val="722"/>
    <w:link w:val="7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29" w:customStyle="1">
    <w:name w:val="Heading 7"/>
    <w:basedOn w:val="722"/>
    <w:next w:val="722"/>
    <w:link w:val="74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30" w:customStyle="1">
    <w:name w:val="Heading 8"/>
    <w:basedOn w:val="722"/>
    <w:next w:val="722"/>
    <w:link w:val="74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31" w:customStyle="1">
    <w:name w:val="Heading 9"/>
    <w:basedOn w:val="722"/>
    <w:next w:val="722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2">
    <w:name w:val="Title Char"/>
    <w:basedOn w:val="738"/>
    <w:uiPriority w:val="10"/>
    <w:qFormat/>
    <w:rPr>
      <w:sz w:val="48"/>
      <w:szCs w:val="48"/>
    </w:rPr>
  </w:style>
  <w:style w:type="character" w:styleId="733">
    <w:name w:val="Subtitle Char"/>
    <w:basedOn w:val="738"/>
    <w:uiPriority w:val="11"/>
    <w:qFormat/>
    <w:rPr>
      <w:sz w:val="24"/>
      <w:szCs w:val="24"/>
    </w:rPr>
  </w:style>
  <w:style w:type="character" w:styleId="734">
    <w:name w:val="Quote Char"/>
    <w:link w:val="773"/>
    <w:uiPriority w:val="29"/>
    <w:qFormat/>
    <w:rPr>
      <w:i/>
    </w:rPr>
  </w:style>
  <w:style w:type="character" w:styleId="735">
    <w:name w:val="Intense Quote Char"/>
    <w:link w:val="774"/>
    <w:uiPriority w:val="30"/>
    <w:qFormat/>
    <w:rPr>
      <w:i/>
    </w:rPr>
  </w:style>
  <w:style w:type="character" w:styleId="736">
    <w:name w:val="Footnote Text Char"/>
    <w:uiPriority w:val="99"/>
    <w:qFormat/>
    <w:rPr>
      <w:sz w:val="18"/>
    </w:rPr>
  </w:style>
  <w:style w:type="character" w:styleId="737">
    <w:name w:val="Endnote Text Char"/>
    <w:uiPriority w:val="99"/>
    <w:qFormat/>
    <w:rPr>
      <w:sz w:val="20"/>
    </w:rPr>
  </w:style>
  <w:style w:type="character" w:styleId="738" w:default="1">
    <w:name w:val="Default Paragraph Font"/>
    <w:uiPriority w:val="1"/>
    <w:semiHidden/>
    <w:unhideWhenUsed/>
    <w:qFormat/>
  </w:style>
  <w:style w:type="character" w:styleId="739" w:customStyle="1">
    <w:name w:val="Heading 1 Char"/>
    <w:basedOn w:val="738"/>
    <w:uiPriority w:val="9"/>
    <w:qFormat/>
    <w:rPr>
      <w:rFonts w:ascii="Arial" w:hAnsi="Arial" w:eastAsia="Arial" w:cs="Arial"/>
      <w:sz w:val="40"/>
      <w:szCs w:val="40"/>
    </w:rPr>
  </w:style>
  <w:style w:type="character" w:styleId="740" w:customStyle="1">
    <w:name w:val="Heading 2 Char"/>
    <w:basedOn w:val="738"/>
    <w:uiPriority w:val="9"/>
    <w:qFormat/>
    <w:rPr>
      <w:rFonts w:ascii="Arial" w:hAnsi="Arial" w:eastAsia="Arial" w:cs="Arial"/>
      <w:sz w:val="34"/>
    </w:rPr>
  </w:style>
  <w:style w:type="character" w:styleId="741" w:customStyle="1">
    <w:name w:val="Heading 3 Char"/>
    <w:basedOn w:val="738"/>
    <w:uiPriority w:val="9"/>
    <w:qFormat/>
    <w:rPr>
      <w:rFonts w:ascii="Arial" w:hAnsi="Arial" w:eastAsia="Arial" w:cs="Arial"/>
      <w:sz w:val="30"/>
      <w:szCs w:val="30"/>
    </w:rPr>
  </w:style>
  <w:style w:type="character" w:styleId="742" w:customStyle="1">
    <w:name w:val="Heading 4 Char"/>
    <w:basedOn w:val="73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43" w:customStyle="1">
    <w:name w:val="Heading 5 Char"/>
    <w:basedOn w:val="73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44" w:customStyle="1">
    <w:name w:val="Heading 6 Char"/>
    <w:basedOn w:val="73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45" w:customStyle="1">
    <w:name w:val="Heading 7 Char"/>
    <w:basedOn w:val="73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46" w:customStyle="1">
    <w:name w:val="Heading 8 Char"/>
    <w:basedOn w:val="73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47" w:customStyle="1">
    <w:name w:val="Heading 9 Char"/>
    <w:basedOn w:val="73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48" w:customStyle="1">
    <w:name w:val="Название Знак"/>
    <w:basedOn w:val="738"/>
    <w:uiPriority w:val="10"/>
    <w:qFormat/>
    <w:rPr>
      <w:sz w:val="48"/>
      <w:szCs w:val="48"/>
    </w:rPr>
  </w:style>
  <w:style w:type="character" w:styleId="749" w:customStyle="1">
    <w:name w:val="Подзаголовок Знак"/>
    <w:basedOn w:val="738"/>
    <w:uiPriority w:val="11"/>
    <w:qFormat/>
    <w:rPr>
      <w:sz w:val="24"/>
      <w:szCs w:val="24"/>
    </w:rPr>
  </w:style>
  <w:style w:type="character" w:styleId="750" w:customStyle="1">
    <w:name w:val="Цитата 2 Знак"/>
    <w:link w:val="773"/>
    <w:uiPriority w:val="29"/>
    <w:qFormat/>
    <w:rPr>
      <w:i/>
    </w:rPr>
  </w:style>
  <w:style w:type="character" w:styleId="751" w:customStyle="1">
    <w:name w:val="Выделенная цитата Знак"/>
    <w:link w:val="774"/>
    <w:uiPriority w:val="30"/>
    <w:qFormat/>
    <w:rPr>
      <w:i/>
    </w:rPr>
  </w:style>
  <w:style w:type="character" w:styleId="752" w:customStyle="1">
    <w:name w:val="Header Char"/>
    <w:basedOn w:val="738"/>
    <w:uiPriority w:val="99"/>
    <w:qFormat/>
  </w:style>
  <w:style w:type="character" w:styleId="753" w:customStyle="1">
    <w:name w:val="Footer Char"/>
    <w:basedOn w:val="738"/>
    <w:uiPriority w:val="99"/>
    <w:qFormat/>
  </w:style>
  <w:style w:type="character" w:styleId="754" w:customStyle="1">
    <w:name w:val="Caption Char"/>
    <w:uiPriority w:val="99"/>
    <w:qFormat/>
  </w:style>
  <w:style w:type="character" w:styleId="755" w:customStyle="1">
    <w:name w:val="Текст сноски Знак"/>
    <w:uiPriority w:val="99"/>
    <w:qFormat/>
    <w:rPr>
      <w:sz w:val="18"/>
    </w:rPr>
  </w:style>
  <w:style w:type="character" w:styleId="756">
    <w:name w:val="Привязка сноски"/>
    <w:rPr>
      <w:vertAlign w:val="superscript"/>
    </w:rPr>
  </w:style>
  <w:style w:type="character" w:styleId="757">
    <w:name w:val="Footnote Characters"/>
    <w:basedOn w:val="738"/>
    <w:uiPriority w:val="99"/>
    <w:unhideWhenUsed/>
    <w:qFormat/>
    <w:rPr>
      <w:vertAlign w:val="superscript"/>
    </w:rPr>
  </w:style>
  <w:style w:type="character" w:styleId="758" w:customStyle="1">
    <w:name w:val="Текст концевой сноски Знак"/>
    <w:uiPriority w:val="99"/>
    <w:qFormat/>
    <w:rPr>
      <w:sz w:val="20"/>
    </w:rPr>
  </w:style>
  <w:style w:type="character" w:styleId="759">
    <w:name w:val="Привязка концевой сноски"/>
    <w:rPr>
      <w:vertAlign w:val="superscript"/>
    </w:rPr>
  </w:style>
  <w:style w:type="character" w:styleId="760">
    <w:name w:val="Endnote Characters"/>
    <w:basedOn w:val="738"/>
    <w:uiPriority w:val="99"/>
    <w:semiHidden/>
    <w:unhideWhenUsed/>
    <w:qFormat/>
    <w:rPr>
      <w:vertAlign w:val="superscript"/>
    </w:rPr>
  </w:style>
  <w:style w:type="character" w:styleId="761">
    <w:name w:val="Интернет-ссылка"/>
    <w:basedOn w:val="738"/>
    <w:uiPriority w:val="99"/>
    <w:unhideWhenUsed/>
    <w:rPr>
      <w:color w:val="0000ff" w:themeColor="hyperlink"/>
      <w:u w:val="single"/>
    </w:rPr>
  </w:style>
  <w:style w:type="character" w:styleId="762" w:customStyle="1">
    <w:name w:val="Текст выноски Знак"/>
    <w:basedOn w:val="738"/>
    <w:link w:val="789"/>
    <w:uiPriority w:val="99"/>
    <w:semiHidden/>
    <w:qFormat/>
    <w:rPr>
      <w:rFonts w:ascii="Tahoma" w:hAnsi="Tahoma" w:cs="Tahoma"/>
      <w:sz w:val="16"/>
      <w:szCs w:val="16"/>
    </w:rPr>
  </w:style>
  <w:style w:type="character" w:styleId="763" w:customStyle="1">
    <w:name w:val="Верхний колонтитул Знак"/>
    <w:basedOn w:val="738"/>
    <w:uiPriority w:val="99"/>
    <w:qFormat/>
  </w:style>
  <w:style w:type="character" w:styleId="764" w:customStyle="1">
    <w:name w:val="Нижний колонтитул Знак"/>
    <w:basedOn w:val="738"/>
    <w:uiPriority w:val="99"/>
    <w:qFormat/>
  </w:style>
  <w:style w:type="paragraph" w:styleId="765">
    <w:name w:val="Заголовок"/>
    <w:basedOn w:val="722"/>
    <w:next w:val="766"/>
    <w:qFormat/>
    <w:pPr>
      <w:keepNext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766">
    <w:name w:val="Body Text"/>
    <w:basedOn w:val="722"/>
    <w:pPr>
      <w:spacing w:before="0" w:after="140" w:line="276" w:lineRule="auto"/>
    </w:pPr>
  </w:style>
  <w:style w:type="paragraph" w:styleId="767">
    <w:name w:val="List"/>
    <w:basedOn w:val="766"/>
    <w:rPr>
      <w:rFonts w:cs="Droid Sans Devanagari"/>
    </w:rPr>
  </w:style>
  <w:style w:type="paragraph" w:styleId="768" w:customStyle="1">
    <w:name w:val="Caption"/>
    <w:basedOn w:val="722"/>
    <w:next w:val="72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769">
    <w:name w:val="Указатель"/>
    <w:basedOn w:val="722"/>
    <w:qFormat/>
    <w:pPr>
      <w:suppressLineNumbers/>
    </w:pPr>
    <w:rPr>
      <w:rFonts w:cs="Droid Sans Devanagari"/>
    </w:rPr>
  </w:style>
  <w:style w:type="paragraph" w:styleId="770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71">
    <w:name w:val="Title"/>
    <w:basedOn w:val="722"/>
    <w:next w:val="722"/>
    <w:link w:val="74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72">
    <w:name w:val="Subtitle"/>
    <w:basedOn w:val="722"/>
    <w:next w:val="722"/>
    <w:link w:val="749"/>
    <w:uiPriority w:val="11"/>
    <w:qFormat/>
    <w:pPr>
      <w:spacing w:before="200" w:after="200"/>
    </w:pPr>
    <w:rPr>
      <w:sz w:val="24"/>
      <w:szCs w:val="24"/>
    </w:rPr>
  </w:style>
  <w:style w:type="paragraph" w:styleId="773">
    <w:name w:val="Quote"/>
    <w:basedOn w:val="722"/>
    <w:next w:val="722"/>
    <w:link w:val="750"/>
    <w:uiPriority w:val="29"/>
    <w:qFormat/>
    <w:pPr>
      <w:ind w:left="720" w:right="720" w:firstLine="0"/>
    </w:pPr>
    <w:rPr>
      <w:i/>
    </w:rPr>
  </w:style>
  <w:style w:type="paragraph" w:styleId="774">
    <w:name w:val="Intense Quote"/>
    <w:basedOn w:val="722"/>
    <w:next w:val="722"/>
    <w:link w:val="751"/>
    <w:uiPriority w:val="30"/>
    <w:qFormat/>
    <w:pPr>
      <w:ind w:left="720" w:right="720" w:firstLine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75">
    <w:name w:val="footnote text"/>
    <w:basedOn w:val="722"/>
    <w:link w:val="755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76">
    <w:name w:val="endnote text"/>
    <w:basedOn w:val="722"/>
    <w:link w:val="758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77">
    <w:name w:val="toc 1"/>
    <w:basedOn w:val="722"/>
    <w:next w:val="722"/>
    <w:uiPriority w:val="39"/>
    <w:unhideWhenUsed/>
    <w:pPr>
      <w:spacing w:before="0" w:after="57"/>
    </w:pPr>
  </w:style>
  <w:style w:type="paragraph" w:styleId="778">
    <w:name w:val="toc 2"/>
    <w:basedOn w:val="722"/>
    <w:next w:val="722"/>
    <w:uiPriority w:val="39"/>
    <w:unhideWhenUsed/>
    <w:pPr>
      <w:ind w:left="283" w:firstLine="0"/>
      <w:spacing w:before="0" w:after="57"/>
    </w:pPr>
  </w:style>
  <w:style w:type="paragraph" w:styleId="779">
    <w:name w:val="toc 3"/>
    <w:basedOn w:val="722"/>
    <w:next w:val="722"/>
    <w:uiPriority w:val="39"/>
    <w:unhideWhenUsed/>
    <w:pPr>
      <w:ind w:left="567" w:firstLine="0"/>
      <w:spacing w:before="0" w:after="57"/>
    </w:pPr>
  </w:style>
  <w:style w:type="paragraph" w:styleId="780">
    <w:name w:val="toc 4"/>
    <w:basedOn w:val="722"/>
    <w:next w:val="722"/>
    <w:uiPriority w:val="39"/>
    <w:unhideWhenUsed/>
    <w:pPr>
      <w:ind w:left="850" w:firstLine="0"/>
      <w:spacing w:before="0" w:after="57"/>
    </w:pPr>
  </w:style>
  <w:style w:type="paragraph" w:styleId="781">
    <w:name w:val="toc 5"/>
    <w:basedOn w:val="722"/>
    <w:next w:val="722"/>
    <w:uiPriority w:val="39"/>
    <w:unhideWhenUsed/>
    <w:pPr>
      <w:ind w:left="1134" w:firstLine="0"/>
      <w:spacing w:before="0" w:after="57"/>
    </w:pPr>
  </w:style>
  <w:style w:type="paragraph" w:styleId="782">
    <w:name w:val="toc 6"/>
    <w:basedOn w:val="722"/>
    <w:next w:val="722"/>
    <w:uiPriority w:val="39"/>
    <w:unhideWhenUsed/>
    <w:pPr>
      <w:ind w:left="1417" w:firstLine="0"/>
      <w:spacing w:before="0" w:after="57"/>
    </w:pPr>
  </w:style>
  <w:style w:type="paragraph" w:styleId="783">
    <w:name w:val="toc 7"/>
    <w:basedOn w:val="722"/>
    <w:next w:val="722"/>
    <w:uiPriority w:val="39"/>
    <w:unhideWhenUsed/>
    <w:pPr>
      <w:ind w:left="1701" w:firstLine="0"/>
      <w:spacing w:before="0" w:after="57"/>
    </w:pPr>
  </w:style>
  <w:style w:type="paragraph" w:styleId="784">
    <w:name w:val="toc 8"/>
    <w:basedOn w:val="722"/>
    <w:next w:val="722"/>
    <w:uiPriority w:val="39"/>
    <w:unhideWhenUsed/>
    <w:pPr>
      <w:ind w:left="1984" w:firstLine="0"/>
      <w:spacing w:before="0" w:after="57"/>
    </w:pPr>
  </w:style>
  <w:style w:type="paragraph" w:styleId="785">
    <w:name w:val="toc 9"/>
    <w:basedOn w:val="722"/>
    <w:next w:val="722"/>
    <w:uiPriority w:val="39"/>
    <w:unhideWhenUsed/>
    <w:pPr>
      <w:ind w:left="2268" w:firstLine="0"/>
      <w:spacing w:before="0" w:after="57"/>
    </w:pPr>
  </w:style>
  <w:style w:type="paragraph" w:styleId="786">
    <w:name w:val="Index Heading"/>
    <w:basedOn w:val="765"/>
  </w:style>
  <w:style w:type="paragraph" w:styleId="787">
    <w:name w:val="TOC Heading"/>
    <w:uiPriority w:val="39"/>
    <w:unhideWhenUsed/>
    <w:pPr>
      <w:jc w:val="left"/>
      <w:spacing w:before="0" w:beforeAutospacing="0" w:after="200" w:afterAutospacing="0" w:line="276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88">
    <w:name w:val="table of figures"/>
    <w:basedOn w:val="722"/>
    <w:next w:val="722"/>
    <w:uiPriority w:val="99"/>
    <w:unhideWhenUsed/>
    <w:qFormat/>
    <w:pPr>
      <w:spacing w:before="0" w:after="0"/>
    </w:pPr>
  </w:style>
  <w:style w:type="paragraph" w:styleId="789">
    <w:name w:val="Balloon Text"/>
    <w:basedOn w:val="722"/>
    <w:link w:val="762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790">
    <w:name w:val="List Paragraph"/>
    <w:basedOn w:val="722"/>
    <w:uiPriority w:val="34"/>
    <w:qFormat/>
    <w:pPr>
      <w:contextualSpacing/>
      <w:ind w:left="720" w:firstLine="0"/>
      <w:spacing w:before="0" w:after="200"/>
    </w:pPr>
  </w:style>
  <w:style w:type="paragraph" w:styleId="791" w:customStyle="1">
    <w:name w:val="ConsPlusNonformat"/>
    <w:qFormat/>
    <w:pPr>
      <w:jc w:val="left"/>
      <w:spacing w:before="0" w:beforeAutospacing="0" w:after="0" w:afterAutospacing="0" w:line="240" w:lineRule="auto"/>
      <w:widowControl/>
    </w:pPr>
    <w:rPr>
      <w:rFonts w:ascii="Courier New" w:hAnsi="Courier New" w:eastAsia="Calibri" w:cs="Courier New" w:eastAsiaTheme="minorHAnsi"/>
      <w:color w:val="auto"/>
      <w:sz w:val="20"/>
      <w:szCs w:val="20"/>
      <w:lang w:val="ru-RU" w:eastAsia="en-US" w:bidi="ar-SA"/>
    </w:rPr>
  </w:style>
  <w:style w:type="paragraph" w:styleId="792">
    <w:name w:val="Колонтитул"/>
    <w:basedOn w:val="722"/>
    <w:qFormat/>
  </w:style>
  <w:style w:type="paragraph" w:styleId="793" w:customStyle="1">
    <w:name w:val="Header"/>
    <w:basedOn w:val="722"/>
    <w:link w:val="763"/>
    <w:uiPriority w:val="99"/>
    <w:unhideWhenUsed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94" w:customStyle="1">
    <w:name w:val="Footer"/>
    <w:basedOn w:val="722"/>
    <w:link w:val="764"/>
    <w:uiPriority w:val="99"/>
    <w:unhideWhenUsed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95" w:customStyle="1">
    <w:name w:val="ConsPlusNormal"/>
    <w:qFormat/>
    <w:pPr>
      <w:jc w:val="left"/>
      <w:spacing w:before="0" w:beforeAutospacing="0" w:after="0" w:afterAutospacing="0" w:line="240" w:lineRule="auto"/>
      <w:widowControl/>
    </w:pPr>
    <w:rPr>
      <w:rFonts w:ascii="Times New Roman" w:hAnsi="Times New Roman" w:eastAsia="Calibri" w:cs="Times New Roman" w:eastAsiaTheme="minorHAnsi"/>
      <w:color w:val="auto"/>
      <w:sz w:val="20"/>
      <w:szCs w:val="20"/>
      <w:lang w:val="ru-RU" w:eastAsia="en-US" w:bidi="ar-SA"/>
    </w:rPr>
  </w:style>
  <w:style w:type="numbering" w:styleId="796" w:default="1">
    <w:name w:val="No List"/>
    <w:uiPriority w:val="99"/>
    <w:semiHidden/>
    <w:unhideWhenUsed/>
    <w:qFormat/>
  </w:style>
  <w:style w:type="table" w:styleId="797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98" w:customStyle="1">
    <w:name w:val="Table Grid Light"/>
    <w:basedOn w:val="79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9" w:customStyle="1">
    <w:name w:val="Plain Table 1"/>
    <w:basedOn w:val="79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00" w:customStyle="1">
    <w:name w:val="Plain Table 2"/>
    <w:basedOn w:val="79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01" w:customStyle="1">
    <w:name w:val="Plain Table 3"/>
    <w:basedOn w:val="797"/>
    <w:uiPriority w:val="99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2" w:customStyle="1">
    <w:name w:val="Plain Table 4"/>
    <w:basedOn w:val="797"/>
    <w:uiPriority w:val="99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Plain Table 5"/>
    <w:basedOn w:val="797"/>
    <w:uiPriority w:val="99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1 Light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Grid Table 1 Light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1 Light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Grid Table 1 Light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Grid Table 1 Light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Grid Table 1 Light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Grid Table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2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2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2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2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2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2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3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3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3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3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3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3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4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6" w:customStyle="1">
    <w:name w:val="Grid Table 4 - Accent 1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d8ac2" w:fill="5d8ac2" w:themeFill="accent1" w:themeFillTint="EA"/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sz="4" w:space="0"/>
        </w:tcBorders>
      </w:tcPr>
    </w:tblStylePr>
  </w:style>
  <w:style w:type="table" w:styleId="827" w:customStyle="1">
    <w:name w:val="Grid Table 4 - Accent 2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sz="4" w:space="0"/>
        </w:tcBorders>
      </w:tcPr>
    </w:tblStylePr>
  </w:style>
  <w:style w:type="table" w:styleId="828" w:customStyle="1">
    <w:name w:val="Grid Table 4 - Accent 3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abb59" w:fill="9abb59" w:themeFill="accent3" w:themeFillTint="FE"/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sz="4" w:space="0"/>
        </w:tcBorders>
      </w:tcPr>
    </w:tblStylePr>
  </w:style>
  <w:style w:type="table" w:styleId="829" w:customStyle="1">
    <w:name w:val="Grid Table 4 - Accent 4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sz="4" w:space="0"/>
        </w:tcBorders>
      </w:tcPr>
    </w:tblStylePr>
  </w:style>
  <w:style w:type="table" w:styleId="830" w:customStyle="1">
    <w:name w:val="Grid Table 4 - Accent 5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1" w:customStyle="1">
    <w:name w:val="Grid Table 4 - Accent 6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2" w:customStyle="1">
    <w:name w:val="Grid Table 5 Dark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33" w:customStyle="1">
    <w:name w:val="Grid Table 5 Dark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834" w:customStyle="1">
    <w:name w:val="Grid Table 5 Dark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835" w:customStyle="1">
    <w:name w:val="Grid Table 5 Dark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836" w:customStyle="1">
    <w:name w:val="Grid Table 5 Dark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837" w:customStyle="1">
    <w:name w:val="Grid Table 5 Dark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838" w:customStyle="1">
    <w:name w:val="Grid Table 5 Dark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839" w:customStyle="1">
    <w:name w:val="Grid Table 6 Colorful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0" w:customStyle="1">
    <w:name w:val="Grid Table 6 Colorful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1" w:customStyle="1">
    <w:name w:val="Grid Table 6 Colorful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2" w:customStyle="1">
    <w:name w:val="Grid Table 6 Colorful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3" w:customStyle="1">
    <w:name w:val="Grid Table 6 Colorful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4" w:customStyle="1">
    <w:name w:val="Grid Table 6 Colorful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5" w:customStyle="1">
    <w:name w:val="Grid Table 6 Colorful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6" w:customStyle="1">
    <w:name w:val="Grid Table 7 Colorful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7 Colorful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7 Colorful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7 Colorful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7 Colorful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7 Colorful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7 Colorful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"/>
    <w:basedOn w:val="797"/>
    <w:uiPriority w:val="99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1 Light - Accent 1"/>
    <w:basedOn w:val="797"/>
    <w:uiPriority w:val="99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1 Light - Accent 2"/>
    <w:basedOn w:val="797"/>
    <w:uiPriority w:val="99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1 Light - Accent 3"/>
    <w:basedOn w:val="797"/>
    <w:uiPriority w:val="99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1 Light - Accent 4"/>
    <w:basedOn w:val="797"/>
    <w:uiPriority w:val="99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1 Light - Accent 5"/>
    <w:basedOn w:val="797"/>
    <w:uiPriority w:val="99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1 Light - Accent 6"/>
    <w:basedOn w:val="797"/>
    <w:uiPriority w:val="99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861" w:customStyle="1">
    <w:name w:val="List Table 2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</w:style>
  <w:style w:type="table" w:styleId="862" w:customStyle="1">
    <w:name w:val="List Table 2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</w:style>
  <w:style w:type="table" w:styleId="863" w:customStyle="1">
    <w:name w:val="List Table 2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</w:style>
  <w:style w:type="table" w:styleId="864" w:customStyle="1">
    <w:name w:val="List Table 2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</w:style>
  <w:style w:type="table" w:styleId="865" w:customStyle="1">
    <w:name w:val="List Table 2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</w:style>
  <w:style w:type="table" w:styleId="866" w:customStyle="1">
    <w:name w:val="List Table 2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</w:style>
  <w:style w:type="table" w:styleId="867" w:customStyle="1">
    <w:name w:val="List Table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3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3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3d69b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3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3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3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4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4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4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4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4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5 Dark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82" w:customStyle="1">
    <w:name w:val="List Table 5 Dark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83" w:customStyle="1">
    <w:name w:val="List Table 5 Dark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D99695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84" w:customStyle="1">
    <w:name w:val="List Table 5 Dark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C3D69B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85" w:customStyle="1">
    <w:name w:val="List Table 5 Dark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B2A1C6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86" w:customStyle="1">
    <w:name w:val="List Table 5 Dark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92CCDC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87" w:customStyle="1">
    <w:name w:val="List Table 5 Dark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AC090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88" w:customStyle="1">
    <w:name w:val="List Table 6 Colorful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889" w:customStyle="1">
    <w:name w:val="List Table 6 Colorful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0" w:customStyle="1">
    <w:name w:val="List Table 6 Colorful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sz="4" w:space="0"/>
        </w:tcBorders>
      </w:tcPr>
    </w:tblStylePr>
  </w:style>
  <w:style w:type="table" w:styleId="891" w:customStyle="1">
    <w:name w:val="List Table 6 Colorful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sz="4" w:space="0"/>
        </w:tcBorders>
      </w:tcPr>
    </w:tblStylePr>
  </w:style>
  <w:style w:type="table" w:styleId="892" w:customStyle="1">
    <w:name w:val="List Table 6 Colorful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sz="4" w:space="0"/>
        </w:tcBorders>
      </w:tcPr>
    </w:tblStylePr>
  </w:style>
  <w:style w:type="table" w:styleId="893" w:customStyle="1">
    <w:name w:val="List Table 6 Colorful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sz="4" w:space="0"/>
        </w:tcBorders>
      </w:tcPr>
    </w:tblStylePr>
  </w:style>
  <w:style w:type="table" w:styleId="894" w:customStyle="1">
    <w:name w:val="List Table 6 Colorful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sz="4" w:space="0"/>
        </w:tcBorders>
      </w:tcPr>
    </w:tblStylePr>
  </w:style>
  <w:style w:type="table" w:styleId="895" w:customStyle="1">
    <w:name w:val="List Table 7 Colorful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7 Colorful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7 Colorful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7 Colorful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7 Colorful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7 Colorful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7 Colorful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ned - Accent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03" w:customStyle="1">
    <w:name w:val="Lined - Accent 1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04" w:customStyle="1">
    <w:name w:val="Lined - Accent 2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05" w:customStyle="1">
    <w:name w:val="Lined - Accent 3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06" w:customStyle="1">
    <w:name w:val="Lined - Accent 4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07" w:customStyle="1">
    <w:name w:val="Lined - Accent 5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08" w:customStyle="1">
    <w:name w:val="Lined - Accent 6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09" w:customStyle="1">
    <w:name w:val="Bordered &amp; Lined - Accent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10" w:customStyle="1">
    <w:name w:val="Bordered &amp; Lined - Accent 1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11" w:customStyle="1">
    <w:name w:val="Bordered &amp; Lined - Accent 2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12" w:customStyle="1">
    <w:name w:val="Bordered &amp; Lined - Accent 3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13" w:customStyle="1">
    <w:name w:val="Bordered &amp; Lined - Accent 4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14" w:customStyle="1">
    <w:name w:val="Bordered &amp; Lined - Accent 5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15" w:customStyle="1">
    <w:name w:val="Bordered &amp; Lined - Accent 6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16" w:customStyle="1">
    <w:name w:val="Bordered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917" w:customStyle="1">
    <w:name w:val="Bordered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18" w:customStyle="1">
    <w:name w:val="Bordered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D99695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D99695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D99695" w:themeColor="accent2" w:sz="12" w:space="0"/>
        </w:tcBorders>
      </w:tcPr>
    </w:tblStylePr>
  </w:style>
  <w:style w:type="table" w:styleId="919" w:customStyle="1">
    <w:name w:val="Bordered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3D69B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3D69B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3D69B" w:themeColor="accent3" w:sz="12" w:space="0"/>
        </w:tcBorders>
      </w:tcPr>
    </w:tblStylePr>
  </w:style>
  <w:style w:type="table" w:styleId="920" w:customStyle="1">
    <w:name w:val="Bordered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B2A1C6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B2A1C6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B2A1C6" w:themeColor="accent4" w:sz="12" w:space="0"/>
        </w:tcBorders>
      </w:tcPr>
    </w:tblStylePr>
  </w:style>
  <w:style w:type="table" w:styleId="921" w:customStyle="1">
    <w:name w:val="Bordered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2CCDC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2CCDC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2CCDC" w:themeColor="accent5" w:sz="12" w:space="0"/>
        </w:tcBorders>
      </w:tcPr>
    </w:tblStylePr>
  </w:style>
  <w:style w:type="table" w:styleId="922" w:customStyle="1">
    <w:name w:val="Bordered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AC09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AC09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AC090" w:themeColor="accent6" w:sz="12" w:space="0"/>
        </w:tcBorders>
      </w:tcPr>
    </w:tblStylePr>
  </w:style>
  <w:style w:type="table" w:styleId="923">
    <w:name w:val="Table Grid"/>
    <w:basedOn w:val="79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customXml" Target="../customXml/item1.xml" /><Relationship Id="rId14" Type="http://schemas.openxmlformats.org/officeDocument/2006/relationships/hyperlink" Target="consultantplus://offline/ref=DC41E2772540CE89436B920E86BEF4F9345B73C5B114AE3A8765A72052AFVDF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E074F-BEE0-4491-913D-2275198D5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MFNSO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Артюшина Ирина Валерьевна</dc:creator>
  <dc:description/>
  <dc:language>ru-RU</dc:language>
  <cp:revision>64</cp:revision>
  <dcterms:created xsi:type="dcterms:W3CDTF">2018-12-07T01:34:00Z</dcterms:created>
  <dcterms:modified xsi:type="dcterms:W3CDTF">2026-01-23T07:34:58Z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